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outlineLvl w:val="0"/>
        <w:rPr>
          <w:b/>
          <w:sz w:val="24"/>
          <w:lang w:val="en-US" w:eastAsia="ja-JP"/>
        </w:rPr>
      </w:pPr>
      <w:r>
        <w:rPr>
          <w:rFonts w:hint="eastAsia"/>
          <w:b/>
          <w:sz w:val="24"/>
          <w:lang w:val="en-US" w:eastAsia="ja-JP"/>
        </w:rPr>
        <w:t>3GPP TSG RAN WG1 meeting #11</w:t>
      </w:r>
      <w:r>
        <w:rPr>
          <w:rFonts w:hint="eastAsia"/>
          <w:b/>
          <w:sz w:val="24"/>
          <w:lang w:val="en-US" w:eastAsia="zh-CN"/>
        </w:rPr>
        <w:t xml:space="preserve">2bis-e                      </w:t>
      </w:r>
      <w:r>
        <w:rPr>
          <w:rFonts w:hint="eastAsia"/>
          <w:b/>
          <w:sz w:val="24"/>
          <w:lang w:val="en-US" w:eastAsia="ja-JP"/>
        </w:rPr>
        <w:t xml:space="preserve">                                 </w:t>
      </w:r>
      <w:r>
        <w:rPr>
          <w:b/>
          <w:sz w:val="24"/>
          <w:lang w:val="en-US" w:eastAsia="ja-JP"/>
        </w:rPr>
        <w:t>R1-230</w:t>
      </w:r>
      <w:r>
        <w:rPr>
          <w:rFonts w:hint="eastAsia"/>
          <w:b/>
          <w:sz w:val="24"/>
          <w:lang w:val="en-US" w:eastAsia="zh-CN"/>
        </w:rPr>
        <w:t>3811</w:t>
      </w:r>
      <w:r>
        <w:rPr>
          <w:rFonts w:hint="eastAsia"/>
          <w:b/>
          <w:sz w:val="24"/>
          <w:lang w:val="en-US" w:eastAsia="ja-JP"/>
        </w:rPr>
        <w:t xml:space="preserve"> </w:t>
      </w:r>
    </w:p>
    <w:p>
      <w:pPr>
        <w:spacing w:before="120" w:after="120"/>
        <w:rPr>
          <w:rFonts w:hint="eastAsia" w:ascii="Arial" w:hAnsi="Arial" w:cs="Times New Roman" w:eastAsiaTheme="minorEastAsia"/>
          <w:b/>
          <w:sz w:val="24"/>
          <w:lang w:val="en-US" w:eastAsia="ja-JP" w:bidi="ar-SA"/>
        </w:rPr>
      </w:pPr>
      <w:r>
        <w:rPr>
          <w:rFonts w:hint="eastAsia" w:ascii="Arial" w:hAnsi="Arial" w:cs="Times New Roman" w:eastAsiaTheme="minorEastAsia"/>
          <w:b/>
          <w:sz w:val="24"/>
          <w:lang w:val="en-US" w:eastAsia="ja-JP" w:bidi="ar-SA"/>
        </w:rPr>
        <w:t>E-meeting, Apr. 17</w:t>
      </w:r>
      <w:r>
        <w:rPr>
          <w:rFonts w:hint="eastAsia" w:ascii="Arial" w:hAnsi="Arial" w:cs="Times New Roman" w:eastAsiaTheme="minorEastAsia"/>
          <w:b/>
          <w:sz w:val="24"/>
          <w:vertAlign w:val="superscript"/>
          <w:lang w:val="en-US" w:eastAsia="ja-JP" w:bidi="ar-SA"/>
        </w:rPr>
        <w:t>th</w:t>
      </w:r>
      <w:r>
        <w:rPr>
          <w:rFonts w:hint="eastAsia" w:ascii="Arial" w:hAnsi="Arial" w:cs="Times New Roman" w:eastAsiaTheme="minorEastAsia"/>
          <w:b/>
          <w:sz w:val="24"/>
          <w:lang w:val="en-US" w:eastAsia="ja-JP" w:bidi="ar-SA"/>
        </w:rPr>
        <w:t xml:space="preserve"> – Ap</w:t>
      </w:r>
      <w:bookmarkStart w:id="8" w:name="_GoBack"/>
      <w:bookmarkEnd w:id="8"/>
      <w:r>
        <w:rPr>
          <w:rFonts w:hint="eastAsia" w:ascii="Arial" w:hAnsi="Arial" w:cs="Times New Roman" w:eastAsiaTheme="minorEastAsia"/>
          <w:b/>
          <w:sz w:val="24"/>
          <w:lang w:val="en-US" w:eastAsia="ja-JP" w:bidi="ar-SA"/>
        </w:rPr>
        <w:t>r. 26</w:t>
      </w:r>
      <w:r>
        <w:rPr>
          <w:rFonts w:hint="eastAsia" w:ascii="Arial" w:hAnsi="Arial" w:cs="Times New Roman" w:eastAsiaTheme="minorEastAsia"/>
          <w:b/>
          <w:sz w:val="24"/>
          <w:vertAlign w:val="superscript"/>
          <w:lang w:val="en-US" w:eastAsia="ja-JP" w:bidi="ar-SA"/>
        </w:rPr>
        <w:t>th</w:t>
      </w:r>
      <w:r>
        <w:rPr>
          <w:rFonts w:hint="eastAsia" w:ascii="Arial" w:hAnsi="Arial" w:cs="Times New Roman" w:eastAsiaTheme="minorEastAsia"/>
          <w:b/>
          <w:sz w:val="24"/>
          <w:lang w:val="en-US" w:eastAsia="ja-JP" w:bidi="ar-SA"/>
        </w:rPr>
        <w:t>, 2023</w:t>
      </w:r>
    </w:p>
    <w:p>
      <w:pPr>
        <w:pStyle w:val="119"/>
        <w:outlineLvl w:val="9"/>
        <w:rPr>
          <w:b/>
          <w:sz w:val="24"/>
          <w:lang w:val="en-US" w:eastAsia="zh-CN"/>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color w:val="FF0000"/>
                <w:sz w:val="32"/>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rPr>
            </w:pPr>
            <w:r>
              <w:rPr>
                <w:b/>
                <w:sz w:val="28"/>
              </w:rPr>
              <w:t>38.213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t>xxxx</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5</w:t>
            </w:r>
            <w:r>
              <w:rPr>
                <w:b/>
                <w:sz w:val="28"/>
              </w:rPr>
              <w:t>.0</w:t>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hint="eastAsia"/>
                <w:b/>
                <w:caps/>
                <w:lang w:eastAsia="zh-CN"/>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hint="eastAsia"/>
                <w:b/>
                <w:bCs/>
                <w:caps/>
                <w:lang w:eastAsia="zh-CN"/>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rPr>
                <w:rFonts w:hint="eastAsia" w:eastAsiaTheme="minorEastAsia"/>
                <w:lang w:val="en-US" w:eastAsia="zh-CN"/>
              </w:rPr>
            </w:pPr>
            <w:r>
              <w:rPr>
                <w:rFonts w:hint="eastAsia"/>
              </w:rPr>
              <w:t>Correction on Rel-17 PDCCH skippin</w:t>
            </w:r>
            <w:r>
              <w:rPr>
                <w:rFonts w:hint="eastAsia"/>
                <w:lang w:val="en-US" w:eastAsia="zh-CN"/>
              </w:rPr>
              <w:t>g</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t>NR_UE_pow_sav-Core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t>202</w:t>
            </w:r>
            <w:r>
              <w:rPr>
                <w:rFonts w:hint="eastAsia"/>
                <w:lang w:val="en-US" w:eastAsia="zh-CN"/>
              </w:rPr>
              <w:t>3</w:t>
            </w:r>
            <w:r>
              <w:t>-</w:t>
            </w:r>
            <w:r>
              <w:rPr>
                <w:rFonts w:hint="eastAsia"/>
                <w:lang w:val="en-US" w:eastAsia="zh-CN"/>
              </w:rPr>
              <w:t>04</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rPr>
            </w:pPr>
            <w:r>
              <w:rPr>
                <w:b/>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numPr>
                <w:ilvl w:val="0"/>
                <w:numId w:val="33"/>
              </w:numPr>
              <w:spacing w:after="0"/>
              <w:rPr>
                <w:lang w:val="en-US" w:eastAsia="zh-CN"/>
              </w:rPr>
            </w:pPr>
            <w:r>
              <w:rPr>
                <w:rFonts w:hint="eastAsia"/>
                <w:lang w:val="en-US" w:eastAsia="zh-CN"/>
              </w:rPr>
              <w:t xml:space="preserve">The case when UE receives one indication of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and another indication of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 one slot are not included in </w:t>
            </w:r>
            <w:r>
              <w:rPr>
                <w:lang w:val="en-US" w:eastAsia="zh-CN"/>
              </w:rPr>
              <w:t>TS38.213 h</w:t>
            </w:r>
            <w:r>
              <w:rPr>
                <w:rFonts w:hint="eastAsia"/>
                <w:lang w:val="en-US" w:eastAsia="zh-CN"/>
              </w:rPr>
              <w:t>5</w:t>
            </w:r>
            <w:r>
              <w:rPr>
                <w:lang w:val="en-US" w:eastAsia="zh-CN"/>
              </w:rPr>
              <w:t>0</w:t>
            </w:r>
            <w:r>
              <w:rPr>
                <w:rFonts w:hint="eastAsia"/>
                <w:lang w:val="en-US" w:eastAsia="zh-CN"/>
              </w:rPr>
              <w:t xml:space="preserve"> that UE does not expect to receive different PDCCH monitoring adaptation indication during application delay.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34"/>
              </w:numPr>
              <w:spacing w:after="0"/>
              <w:rPr>
                <w:lang w:eastAsia="zh-CN"/>
              </w:rPr>
            </w:pPr>
            <w:r>
              <w:rPr>
                <w:rFonts w:hint="eastAsia"/>
                <w:lang w:val="en-US" w:eastAsia="zh-CN"/>
              </w:rPr>
              <w:t xml:space="preserve">Clarify that UE does not expect to receive one indication of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and another indication of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 one slot.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numPr>
                <w:ilvl w:val="0"/>
                <w:numId w:val="35"/>
              </w:numPr>
              <w:spacing w:after="0"/>
            </w:pPr>
            <w:r>
              <w:rPr>
                <w:rFonts w:hint="eastAsia"/>
                <w:lang w:val="en-US" w:eastAsia="zh-CN"/>
              </w:rPr>
              <w:t xml:space="preserve">If UE receives a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indication after a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indication and </w:t>
            </w:r>
            <w:r>
              <w:rPr>
                <w:lang w:val="en-US" w:eastAsia="zh-CN"/>
              </w:rPr>
              <w:t>these two indications</w:t>
            </w:r>
            <w:r>
              <w:rPr>
                <w:rFonts w:hint="eastAsia"/>
                <w:lang w:val="en-US" w:eastAsia="zh-CN"/>
              </w:rPr>
              <w:t xml:space="preserve"> are received in a same slot, UE behavior of PDCCH monitoring is not clear.</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lang w:val="en-US"/>
              </w:rPr>
            </w:pPr>
            <w:r>
              <w:rPr>
                <w:lang w:eastAsia="zh-CN"/>
              </w:rPr>
              <w:t>10.</w:t>
            </w:r>
            <w:r>
              <w:rPr>
                <w:rFonts w:hint="eastAsia"/>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pStyle w:val="3"/>
        <w:rPr>
          <w:ins w:id="0" w:author="ZTE" w:date="2022-09-30T10:39:00Z"/>
        </w:rPr>
      </w:pPr>
      <w:bookmarkStart w:id="1" w:name="_Toc29894869"/>
      <w:bookmarkStart w:id="2" w:name="_Toc29899168"/>
      <w:bookmarkStart w:id="3" w:name="_Toc29917315"/>
      <w:bookmarkStart w:id="4" w:name="_Toc29899586"/>
      <w:bookmarkStart w:id="5" w:name="_Toc45699217"/>
      <w:bookmarkStart w:id="6" w:name="_Toc36498189"/>
      <w:bookmarkStart w:id="7" w:name="_Toc106629462"/>
      <w:r>
        <w:t>10.4</w:t>
      </w:r>
      <w:r>
        <w:tab/>
      </w:r>
      <w:r>
        <w:t>Search space set group switching</w:t>
      </w:r>
      <w:bookmarkEnd w:id="1"/>
      <w:bookmarkEnd w:id="2"/>
      <w:bookmarkEnd w:id="3"/>
      <w:bookmarkEnd w:id="4"/>
      <w:bookmarkEnd w:id="5"/>
      <w:bookmarkEnd w:id="6"/>
      <w:r>
        <w:t xml:space="preserve"> and skipping of PDCCH monitoring</w:t>
      </w:r>
      <w:bookmarkEnd w:id="7"/>
    </w:p>
    <w:p>
      <w:pPr>
        <w:jc w:val="center"/>
        <w:rPr>
          <w:b/>
          <w:bCs/>
          <w:color w:val="FF0000"/>
          <w:lang w:eastAsia="zh-CN"/>
        </w:rPr>
      </w:pPr>
      <w:r>
        <w:rPr>
          <w:b/>
          <w:bCs/>
          <w:color w:val="FF0000"/>
          <w:lang w:eastAsia="zh-CN"/>
        </w:rPr>
        <w:t>&lt;Unchanged parts are omitted&gt;</w:t>
      </w:r>
    </w:p>
    <w:p>
      <w:pPr>
        <w:rPr>
          <w:lang w:eastAsia="zh-CN"/>
        </w:rPr>
      </w:pPr>
      <w:r>
        <w:rPr>
          <w:lang w:eastAsia="zh-CN"/>
        </w:rPr>
        <w:t>When a UE receives</w:t>
      </w:r>
    </w:p>
    <w:p>
      <w:pPr>
        <w:pStyle w:val="113"/>
        <w:rPr>
          <w:lang w:val="en-US"/>
        </w:rPr>
      </w:pPr>
      <w:r>
        <w:rPr>
          <w:lang w:eastAsia="ko-KR"/>
        </w:rPr>
        <w:t>-</w:t>
      </w:r>
      <w:r>
        <w:rPr>
          <w:lang w:eastAsia="ko-KR"/>
        </w:rPr>
        <w:tab/>
      </w:r>
      <w:r>
        <w:rPr>
          <w:lang w:val="en-US" w:eastAsia="ko-KR"/>
        </w:rPr>
        <w:t xml:space="preserve">a first PDCCH in a first slot that provides a DCI format with a PDCCH </w:t>
      </w:r>
      <w:r>
        <w:rPr>
          <w:lang w:val="en-US" w:eastAsia="zh-CN"/>
        </w:rPr>
        <w:t>monitoring adaptation field having a first value indicating</w:t>
      </w:r>
      <w:r>
        <w:t xml:space="preserve"> skipping PDCCH monitoring</w:t>
      </w:r>
      <w:r>
        <w:rPr>
          <w:lang w:val="en-US"/>
        </w:rPr>
        <w:t xml:space="preserve">, or indicating </w:t>
      </w:r>
      <w:r>
        <w:t xml:space="preserve">start of PDCCH monitoring according to </w:t>
      </w:r>
      <w:r>
        <w:rPr>
          <w:lang w:val="en-US"/>
        </w:rPr>
        <w:t xml:space="preserve">a </w:t>
      </w:r>
      <w:r>
        <w:t xml:space="preserve">search space sets with </w:t>
      </w:r>
      <w:r>
        <w:rPr>
          <w:lang w:val="en-US"/>
        </w:rPr>
        <w:t xml:space="preserve">a first group index </w:t>
      </w:r>
      <w:r>
        <w:t xml:space="preserve">and stop of PDCCH monitoring according to search space sets with </w:t>
      </w:r>
      <w:r>
        <w:rPr>
          <w:lang w:val="en-US"/>
        </w:rPr>
        <w:t xml:space="preserve">a second </w:t>
      </w:r>
      <w:r>
        <w:t>group index</w:t>
      </w:r>
      <w:r>
        <w:rPr>
          <w:lang w:val="en-US"/>
        </w:rPr>
        <w:t xml:space="preserve">, for an active DL BWP and </w:t>
      </w:r>
    </w:p>
    <w:p>
      <w:pPr>
        <w:pStyle w:val="113"/>
        <w:rPr>
          <w:lang w:val="en-US"/>
        </w:rPr>
      </w:pPr>
      <w:r>
        <w:rPr>
          <w:lang w:eastAsia="ko-KR"/>
        </w:rPr>
        <w:t>-</w:t>
      </w:r>
      <w:r>
        <w:rPr>
          <w:lang w:eastAsia="ko-KR"/>
        </w:rPr>
        <w:tab/>
      </w:r>
      <w:r>
        <w:rPr>
          <w:lang w:val="en-US" w:eastAsia="ko-KR"/>
        </w:rPr>
        <w:t xml:space="preserve">a second PDCCH that provides a DCI format with a PDCCH </w:t>
      </w:r>
      <w:r>
        <w:rPr>
          <w:lang w:val="en-US" w:eastAsia="zh-CN"/>
        </w:rPr>
        <w:t>monitoring adaptation field having a second value indicating</w:t>
      </w:r>
      <w:r>
        <w:t xml:space="preserve"> skipping PDCCH monitoring</w:t>
      </w:r>
      <w:ins w:id="1" w:author="ZTE" w:date="2022-08-10T11:36:00Z">
        <w:r>
          <w:rPr>
            <w:rFonts w:hint="eastAsia"/>
            <w:lang w:val="en-US" w:eastAsia="zh-CN"/>
          </w:rPr>
          <w:t xml:space="preserve">, or </w:t>
        </w:r>
      </w:ins>
      <w:ins w:id="2" w:author="ZTE" w:date="2022-08-10T11:36:00Z">
        <w:r>
          <w:rPr>
            <w:lang w:val="en-US"/>
          </w:rPr>
          <w:t xml:space="preserve">indicating </w:t>
        </w:r>
      </w:ins>
      <w:ins w:id="3" w:author="ZTE" w:date="2022-08-10T11:36:00Z">
        <w:r>
          <w:rPr>
            <w:rFonts w:hint="eastAsia"/>
            <w:lang w:val="en-US" w:eastAsia="zh-CN"/>
          </w:rPr>
          <w:t>no skipping in PDCCH monitoring</w:t>
        </w:r>
      </w:ins>
      <w:r>
        <w:rPr>
          <w:lang w:val="en-US"/>
        </w:rPr>
        <w:t xml:space="preserve">, or indicating </w:t>
      </w:r>
      <w:r>
        <w:t xml:space="preserve">start of PDCCH monitoring according to search space sets with </w:t>
      </w:r>
      <w:r>
        <w:rPr>
          <w:lang w:val="en-US"/>
        </w:rPr>
        <w:t xml:space="preserve">a first group index </w:t>
      </w:r>
      <w:r>
        <w:t xml:space="preserve">and stop of PDCCH monitoring according to search space sets with </w:t>
      </w:r>
      <w:r>
        <w:rPr>
          <w:lang w:val="en-US"/>
        </w:rPr>
        <w:t xml:space="preserve">a second </w:t>
      </w:r>
      <w:r>
        <w:t>group index</w:t>
      </w:r>
      <w:r>
        <w:rPr>
          <w:lang w:val="en-US"/>
        </w:rPr>
        <w:t xml:space="preserve"> different than the first group index, for the active DL BWP where the second PDCCH is received</w:t>
      </w:r>
    </w:p>
    <w:p>
      <w:pPr>
        <w:pStyle w:val="114"/>
      </w:pPr>
      <w:r>
        <w:rPr>
          <w:lang w:eastAsia="ko-KR"/>
        </w:rPr>
        <w:t>-</w:t>
      </w:r>
      <w:r>
        <w:rPr>
          <w:lang w:eastAsia="ko-KR"/>
        </w:rPr>
        <w:tab/>
      </w:r>
      <w:r>
        <w:rPr>
          <w:lang w:eastAsia="ko-KR"/>
        </w:rPr>
        <w:t>in the first slot if the first value indicates skipping PDCCH monitoring</w:t>
      </w:r>
      <w:r>
        <w:t xml:space="preserve"> </w:t>
      </w:r>
    </w:p>
    <w:p>
      <w:pPr>
        <w:pStyle w:val="114"/>
      </w:pPr>
      <w:r>
        <w:rPr>
          <w:lang w:eastAsia="ko-KR"/>
        </w:rPr>
        <w:t>-</w:t>
      </w:r>
      <w:r>
        <w:rPr>
          <w:lang w:eastAsia="ko-KR"/>
        </w:rPr>
        <w:tab/>
      </w:r>
      <w:r>
        <w:rPr>
          <w:lang w:eastAsia="ko-KR"/>
        </w:rPr>
        <w:t xml:space="preserve">before a slot that is at least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t xml:space="preserve"> symbols</w:t>
      </w:r>
      <w:r>
        <w:rPr>
          <w:lang w:eastAsia="ko-KR"/>
        </w:rPr>
        <w:t xml:space="preserve"> after the first slot if the first value indicates </w:t>
      </w:r>
      <w:r>
        <w:t>start of PDCCH monitoring according to search space sets with a first group index</w:t>
      </w:r>
    </w:p>
    <w:p>
      <w:pPr>
        <w:rPr>
          <w:lang w:eastAsia="zh-CN"/>
        </w:rPr>
      </w:pPr>
      <w:r>
        <w:rPr>
          <w:lang w:eastAsia="zh-CN"/>
        </w:rPr>
        <w:t xml:space="preserve">the UE does not expect </w:t>
      </w:r>
      <w:r>
        <w:rPr>
          <w:lang w:val="en-US"/>
        </w:rPr>
        <w:t xml:space="preserve">the </w:t>
      </w:r>
      <w:r>
        <w:rPr>
          <w:lang w:val="en-US" w:eastAsia="zh-CN"/>
        </w:rPr>
        <w:t>second value to be different than the first value.</w:t>
      </w:r>
    </w:p>
    <w:p>
      <w:pPr>
        <w:jc w:val="center"/>
        <w:rPr>
          <w:b/>
          <w:bCs/>
          <w:color w:val="FF0000"/>
          <w:lang w:eastAsia="zh-CN"/>
        </w:rPr>
      </w:pPr>
      <w:r>
        <w:rPr>
          <w:b/>
          <w:bCs/>
          <w:color w:val="FF0000"/>
          <w:lang w:eastAsia="zh-CN"/>
        </w:rPr>
        <w:t>&lt;Unchanged parts are omitted&gt;</w:t>
      </w: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60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5814EBC"/>
    <w:multiLevelType w:val="multilevel"/>
    <w:tmpl w:val="05814EB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7">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10">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1">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3">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7">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3">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7">
    <w:nsid w:val="6865452E"/>
    <w:multiLevelType w:val="multilevel"/>
    <w:tmpl w:val="6865452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8">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9">
    <w:nsid w:val="68ED07F3"/>
    <w:multiLevelType w:val="multilevel"/>
    <w:tmpl w:val="68ED07F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0">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3">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0FB3"/>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317"/>
    <w:rsid w:val="00336C70"/>
    <w:rsid w:val="00341D98"/>
    <w:rsid w:val="00343DD5"/>
    <w:rsid w:val="00346C89"/>
    <w:rsid w:val="003609EF"/>
    <w:rsid w:val="003613BD"/>
    <w:rsid w:val="0036231A"/>
    <w:rsid w:val="003640D4"/>
    <w:rsid w:val="003666F2"/>
    <w:rsid w:val="00374DD4"/>
    <w:rsid w:val="00397EC6"/>
    <w:rsid w:val="003B5120"/>
    <w:rsid w:val="003C0E21"/>
    <w:rsid w:val="003D3073"/>
    <w:rsid w:val="003D6859"/>
    <w:rsid w:val="003E1A36"/>
    <w:rsid w:val="003E7125"/>
    <w:rsid w:val="003E7F4D"/>
    <w:rsid w:val="00410371"/>
    <w:rsid w:val="004242F1"/>
    <w:rsid w:val="00444A7C"/>
    <w:rsid w:val="00454C19"/>
    <w:rsid w:val="004816A3"/>
    <w:rsid w:val="004B75B7"/>
    <w:rsid w:val="004E3446"/>
    <w:rsid w:val="004E4C34"/>
    <w:rsid w:val="0051580D"/>
    <w:rsid w:val="005178F9"/>
    <w:rsid w:val="0053386D"/>
    <w:rsid w:val="00547111"/>
    <w:rsid w:val="00561D40"/>
    <w:rsid w:val="0057328F"/>
    <w:rsid w:val="00590765"/>
    <w:rsid w:val="00592D74"/>
    <w:rsid w:val="005B7A5F"/>
    <w:rsid w:val="005C3A39"/>
    <w:rsid w:val="005C5842"/>
    <w:rsid w:val="005E2C44"/>
    <w:rsid w:val="005E7AA5"/>
    <w:rsid w:val="006073FE"/>
    <w:rsid w:val="006176AD"/>
    <w:rsid w:val="00621188"/>
    <w:rsid w:val="006257ED"/>
    <w:rsid w:val="00626920"/>
    <w:rsid w:val="00665C47"/>
    <w:rsid w:val="0067499C"/>
    <w:rsid w:val="00687366"/>
    <w:rsid w:val="00691EB8"/>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27B6"/>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A3CC8"/>
    <w:rsid w:val="00CB2328"/>
    <w:rsid w:val="00CC026F"/>
    <w:rsid w:val="00CC5026"/>
    <w:rsid w:val="00CC68D0"/>
    <w:rsid w:val="00CE06BD"/>
    <w:rsid w:val="00CE15EC"/>
    <w:rsid w:val="00CF06F8"/>
    <w:rsid w:val="00D03F9A"/>
    <w:rsid w:val="00D05F58"/>
    <w:rsid w:val="00D06D51"/>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40F2"/>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519D4"/>
    <w:rsid w:val="00F94569"/>
    <w:rsid w:val="00F969D6"/>
    <w:rsid w:val="00FA0399"/>
    <w:rsid w:val="00FB40A7"/>
    <w:rsid w:val="00FB6386"/>
    <w:rsid w:val="00FB71F3"/>
    <w:rsid w:val="00FC58A7"/>
    <w:rsid w:val="00FD5DFA"/>
    <w:rsid w:val="00FE5716"/>
    <w:rsid w:val="00FE62E5"/>
    <w:rsid w:val="00FF7E75"/>
    <w:rsid w:val="01CB65F4"/>
    <w:rsid w:val="05B04705"/>
    <w:rsid w:val="05D67494"/>
    <w:rsid w:val="07207151"/>
    <w:rsid w:val="094F1CAD"/>
    <w:rsid w:val="097073E1"/>
    <w:rsid w:val="0BB20853"/>
    <w:rsid w:val="113C3521"/>
    <w:rsid w:val="126B7CE1"/>
    <w:rsid w:val="130012E8"/>
    <w:rsid w:val="14397321"/>
    <w:rsid w:val="1A167DEF"/>
    <w:rsid w:val="1B144C67"/>
    <w:rsid w:val="1B604AF7"/>
    <w:rsid w:val="1D123339"/>
    <w:rsid w:val="1D890446"/>
    <w:rsid w:val="20644FE3"/>
    <w:rsid w:val="220534F0"/>
    <w:rsid w:val="246F62F1"/>
    <w:rsid w:val="24881B78"/>
    <w:rsid w:val="29365923"/>
    <w:rsid w:val="2C3A0464"/>
    <w:rsid w:val="2CB369FB"/>
    <w:rsid w:val="2CC92F8C"/>
    <w:rsid w:val="2E8D46CA"/>
    <w:rsid w:val="2F965B97"/>
    <w:rsid w:val="30632C49"/>
    <w:rsid w:val="39AB5011"/>
    <w:rsid w:val="3A4A01E1"/>
    <w:rsid w:val="3BD06953"/>
    <w:rsid w:val="3C0E3D87"/>
    <w:rsid w:val="3D036F5E"/>
    <w:rsid w:val="3F3C23D8"/>
    <w:rsid w:val="423035AC"/>
    <w:rsid w:val="427863F3"/>
    <w:rsid w:val="43761879"/>
    <w:rsid w:val="4758629D"/>
    <w:rsid w:val="48CC59EA"/>
    <w:rsid w:val="4A7B371E"/>
    <w:rsid w:val="4AC57B33"/>
    <w:rsid w:val="4BC94084"/>
    <w:rsid w:val="4C4B0712"/>
    <w:rsid w:val="4E85575D"/>
    <w:rsid w:val="525748BB"/>
    <w:rsid w:val="551151C9"/>
    <w:rsid w:val="55126F17"/>
    <w:rsid w:val="55710624"/>
    <w:rsid w:val="56510B26"/>
    <w:rsid w:val="56B65F1D"/>
    <w:rsid w:val="59437567"/>
    <w:rsid w:val="595A7D1B"/>
    <w:rsid w:val="5AF811DA"/>
    <w:rsid w:val="5D3F50A3"/>
    <w:rsid w:val="5F4B16F1"/>
    <w:rsid w:val="61B1503B"/>
    <w:rsid w:val="621A6527"/>
    <w:rsid w:val="627C44F8"/>
    <w:rsid w:val="686A005C"/>
    <w:rsid w:val="6AE70408"/>
    <w:rsid w:val="6E1A6EC0"/>
    <w:rsid w:val="6FE85BCE"/>
    <w:rsid w:val="73E6075D"/>
    <w:rsid w:val="74F20961"/>
    <w:rsid w:val="7759404A"/>
    <w:rsid w:val="789D250C"/>
    <w:rsid w:val="7C240E46"/>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6"/>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85"/>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7"/>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character" w:customStyle="1" w:styleId="85">
    <w:name w:val="批注框文本 字符"/>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30"/>
    <w:qFormat/>
    <w:uiPriority w:val="0"/>
    <w:rPr>
      <w:b/>
    </w:rPr>
  </w:style>
  <w:style w:type="paragraph" w:customStyle="1" w:styleId="90">
    <w:name w:val="TAC"/>
    <w:basedOn w:val="91"/>
    <w:link w:val="129"/>
    <w:qFormat/>
    <w:uiPriority w:val="0"/>
    <w:pPr>
      <w:jc w:val="center"/>
    </w:pPr>
  </w:style>
  <w:style w:type="paragraph" w:customStyle="1" w:styleId="91">
    <w:name w:val="TAL"/>
    <w:basedOn w:val="1"/>
    <w:link w:val="143"/>
    <w:qFormat/>
    <w:uiPriority w:val="0"/>
    <w:pPr>
      <w:keepNext/>
      <w:keepLines/>
      <w:spacing w:after="0"/>
    </w:pPr>
    <w:rPr>
      <w:rFonts w:ascii="Arial" w:hAnsi="Arial" w:eastAsiaTheme="minorEastAsia"/>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8"/>
    <w:qFormat/>
    <w:uiPriority w:val="0"/>
    <w:pPr>
      <w:keepNext/>
      <w:keepLines/>
      <w:spacing w:before="60"/>
      <w:jc w:val="center"/>
    </w:pPr>
    <w:rPr>
      <w:rFonts w:ascii="Arial" w:hAnsi="Arial" w:eastAsiaTheme="minorEastAsia"/>
      <w:b/>
    </w:rPr>
  </w:style>
  <w:style w:type="paragraph" w:customStyle="1" w:styleId="94">
    <w:name w:val="NO"/>
    <w:basedOn w:val="1"/>
    <w:link w:val="259"/>
    <w:qFormat/>
    <w:uiPriority w:val="0"/>
    <w:pPr>
      <w:keepLines/>
      <w:ind w:left="1135" w:hanging="851"/>
    </w:pPr>
    <w:rPr>
      <w:rFonts w:eastAsiaTheme="minorEastAsia"/>
    </w:rPr>
  </w:style>
  <w:style w:type="paragraph" w:customStyle="1" w:styleId="95">
    <w:name w:val="EX"/>
    <w:basedOn w:val="1"/>
    <w:qFormat/>
    <w:uiPriority w:val="99"/>
    <w:pPr>
      <w:keepLines/>
      <w:ind w:left="1702" w:hanging="1418"/>
    </w:pPr>
    <w:rPr>
      <w:rFonts w:eastAsiaTheme="minorEastAsia"/>
    </w:rPr>
  </w:style>
  <w:style w:type="paragraph" w:customStyle="1" w:styleId="96">
    <w:name w:val="FP"/>
    <w:basedOn w:val="1"/>
    <w:qFormat/>
    <w:uiPriority w:val="0"/>
    <w:pPr>
      <w:spacing w:after="0"/>
    </w:pPr>
    <w:rPr>
      <w:rFonts w:eastAsiaTheme="minorEastAsia"/>
    </w:rPr>
  </w:style>
  <w:style w:type="paragraph" w:customStyle="1" w:styleId="9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rPr>
      <w:rFonts w:eastAsiaTheme="minorEastAsia"/>
    </w:r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4"/>
    <w:qFormat/>
    <w:uiPriority w:val="0"/>
  </w:style>
  <w:style w:type="paragraph" w:customStyle="1" w:styleId="115">
    <w:name w:val="B3"/>
    <w:basedOn w:val="12"/>
    <w:link w:val="144"/>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pPr>
    <w:rPr>
      <w:rFonts w:ascii="Arial" w:hAnsi="Arial" w:cs="Times New Roman" w:eastAsiaTheme="minorEastAsia"/>
      <w:lang w:val="en-GB" w:eastAsia="en-US" w:bidi="ar-SA"/>
    </w:rPr>
  </w:style>
  <w:style w:type="paragraph" w:customStyle="1" w:styleId="120">
    <w:name w:val="tdoc-header"/>
    <w:qFormat/>
    <w:uiPriority w:val="0"/>
    <w:rPr>
      <w:rFonts w:ascii="Arial" w:hAnsi="Arial" w:cs="Times New Roman" w:eastAsiaTheme="minorEastAsia"/>
      <w:sz w:val="24"/>
      <w:lang w:val="en-GB" w:eastAsia="en-US" w:bidi="ar-SA"/>
    </w:rPr>
  </w:style>
  <w:style w:type="character" w:customStyle="1" w:styleId="121">
    <w:name w:val="B1 Zchn"/>
    <w:link w:val="113"/>
    <w:qFormat/>
    <w:locked/>
    <w:uiPriority w:val="0"/>
    <w:rPr>
      <w:rFonts w:ascii="Times New Roman" w:hAnsi="Times New Roman"/>
      <w:lang w:val="en-GB" w:eastAsia="en-US"/>
    </w:rPr>
  </w:style>
  <w:style w:type="paragraph" w:customStyle="1" w:styleId="122">
    <w:name w:val="TAJ"/>
    <w:basedOn w:val="93"/>
    <w:qFormat/>
    <w:uiPriority w:val="0"/>
    <w:rPr>
      <w:rFonts w:eastAsia="宋体"/>
      <w:lang w:val="zh-CN"/>
    </w:rPr>
  </w:style>
  <w:style w:type="paragraph" w:customStyle="1" w:styleId="123">
    <w:name w:val="Guidance"/>
    <w:basedOn w:val="1"/>
    <w:qFormat/>
    <w:uiPriority w:val="0"/>
    <w:rPr>
      <w:i/>
      <w:color w:val="0000FF"/>
    </w:rPr>
  </w:style>
  <w:style w:type="character" w:customStyle="1" w:styleId="124">
    <w:name w:val="B2 Char"/>
    <w:link w:val="114"/>
    <w:qFormat/>
    <w:uiPriority w:val="0"/>
    <w:rPr>
      <w:rFonts w:ascii="Times New Roman" w:hAnsi="Times New Roman"/>
      <w:lang w:val="en-GB" w:eastAsia="en-US"/>
    </w:rPr>
  </w:style>
  <w:style w:type="character" w:customStyle="1" w:styleId="125">
    <w:name w:val="B2 Car"/>
    <w:qFormat/>
    <w:uiPriority w:val="0"/>
    <w:rPr>
      <w:lang w:val="en-GB" w:eastAsia="en-US"/>
    </w:rPr>
  </w:style>
  <w:style w:type="character" w:customStyle="1" w:styleId="126">
    <w:name w:val="批注文字 字符"/>
    <w:link w:val="31"/>
    <w:qFormat/>
    <w:uiPriority w:val="99"/>
    <w:rPr>
      <w:rFonts w:ascii="Times New Roman" w:hAnsi="Times New Roman"/>
      <w:lang w:val="en-GB" w:eastAsia="en-US"/>
    </w:rPr>
  </w:style>
  <w:style w:type="character" w:customStyle="1" w:styleId="127">
    <w:name w:val="批注主题 字符"/>
    <w:link w:val="58"/>
    <w:qFormat/>
    <w:uiPriority w:val="99"/>
    <w:rPr>
      <w:rFonts w:ascii="Times New Roman" w:hAnsi="Times New Roman"/>
      <w:b/>
      <w:bCs/>
      <w:lang w:val="en-GB" w:eastAsia="en-US"/>
    </w:rPr>
  </w:style>
  <w:style w:type="character" w:customStyle="1" w:styleId="128">
    <w:name w:val="TH Char"/>
    <w:link w:val="93"/>
    <w:qFormat/>
    <w:uiPriority w:val="0"/>
    <w:rPr>
      <w:rFonts w:ascii="Arial" w:hAnsi="Arial"/>
      <w:b/>
      <w:lang w:val="en-GB" w:eastAsia="en-US"/>
    </w:rPr>
  </w:style>
  <w:style w:type="character" w:customStyle="1" w:styleId="129">
    <w:name w:val="TAC Char"/>
    <w:link w:val="90"/>
    <w:qFormat/>
    <w:locked/>
    <w:uiPriority w:val="0"/>
    <w:rPr>
      <w:rFonts w:ascii="Arial" w:hAnsi="Arial"/>
      <w:sz w:val="18"/>
      <w:lang w:val="en-GB" w:eastAsia="en-US"/>
    </w:rPr>
  </w:style>
  <w:style w:type="character" w:customStyle="1" w:styleId="130">
    <w:name w:val="TAH Car"/>
    <w:link w:val="89"/>
    <w:qFormat/>
    <w:uiPriority w:val="0"/>
    <w:rPr>
      <w:rFonts w:ascii="Arial" w:hAnsi="Arial"/>
      <w:b/>
      <w:sz w:val="18"/>
      <w:lang w:val="en-GB" w:eastAsia="en-US"/>
    </w:rPr>
  </w:style>
  <w:style w:type="character" w:customStyle="1" w:styleId="131">
    <w:name w:val="标题 5 字符"/>
    <w:link w:val="6"/>
    <w:qFormat/>
    <w:uiPriority w:val="0"/>
    <w:rPr>
      <w:rFonts w:ascii="Arial" w:hAnsi="Arial"/>
      <w:sz w:val="22"/>
      <w:lang w:val="en-GB" w:eastAsia="en-US"/>
    </w:rPr>
  </w:style>
  <w:style w:type="character" w:customStyle="1" w:styleId="132">
    <w:name w:val="标题 4 字符"/>
    <w:link w:val="5"/>
    <w:qFormat/>
    <w:uiPriority w:val="0"/>
    <w:rPr>
      <w:rFonts w:ascii="Arial" w:hAnsi="Arial"/>
      <w:sz w:val="24"/>
      <w:lang w:val="en-GB" w:eastAsia="en-US"/>
    </w:rPr>
  </w:style>
  <w:style w:type="character" w:customStyle="1" w:styleId="133">
    <w:name w:val="标题 1 字符"/>
    <w:link w:val="2"/>
    <w:qFormat/>
    <w:uiPriority w:val="99"/>
    <w:rPr>
      <w:rFonts w:ascii="Arial" w:hAnsi="Arial"/>
      <w:sz w:val="36"/>
      <w:lang w:val="en-GB" w:eastAsia="en-US"/>
    </w:rPr>
  </w:style>
  <w:style w:type="character" w:customStyle="1" w:styleId="134">
    <w:name w:val="标题 2 字符"/>
    <w:link w:val="3"/>
    <w:qFormat/>
    <w:uiPriority w:val="0"/>
    <w:rPr>
      <w:rFonts w:ascii="Arial" w:hAnsi="Arial"/>
      <w:sz w:val="32"/>
      <w:lang w:val="en-GB" w:eastAsia="en-US"/>
    </w:rPr>
  </w:style>
  <w:style w:type="character" w:customStyle="1" w:styleId="135">
    <w:name w:val="标题 3 字符"/>
    <w:link w:val="4"/>
    <w:qFormat/>
    <w:uiPriority w:val="9"/>
    <w:rPr>
      <w:rFonts w:ascii="Arial" w:hAnsi="Arial"/>
      <w:sz w:val="28"/>
      <w:lang w:val="en-GB" w:eastAsia="en-US"/>
    </w:rPr>
  </w:style>
  <w:style w:type="character" w:customStyle="1" w:styleId="136">
    <w:name w:val="标题 6 字符"/>
    <w:link w:val="7"/>
    <w:qFormat/>
    <w:uiPriority w:val="9"/>
    <w:rPr>
      <w:rFonts w:ascii="Arial" w:hAnsi="Arial"/>
      <w:lang w:val="en-GB" w:eastAsia="en-US"/>
    </w:rPr>
  </w:style>
  <w:style w:type="character" w:customStyle="1" w:styleId="137">
    <w:name w:val="标题 7 字符"/>
    <w:link w:val="9"/>
    <w:qFormat/>
    <w:uiPriority w:val="9"/>
    <w:rPr>
      <w:rFonts w:ascii="Arial" w:hAnsi="Arial"/>
      <w:lang w:val="en-GB" w:eastAsia="en-US"/>
    </w:rPr>
  </w:style>
  <w:style w:type="character" w:customStyle="1" w:styleId="138">
    <w:name w:val="标题 8 字符"/>
    <w:link w:val="10"/>
    <w:qFormat/>
    <w:uiPriority w:val="9"/>
    <w:rPr>
      <w:rFonts w:ascii="Arial" w:hAnsi="Arial"/>
      <w:sz w:val="36"/>
      <w:lang w:val="en-GB" w:eastAsia="en-US"/>
    </w:rPr>
  </w:style>
  <w:style w:type="character" w:customStyle="1" w:styleId="139">
    <w:name w:val="标题 9 字符"/>
    <w:link w:val="11"/>
    <w:qFormat/>
    <w:uiPriority w:val="9"/>
    <w:rPr>
      <w:rFonts w:ascii="Arial" w:hAnsi="Arial"/>
      <w:sz w:val="36"/>
      <w:lang w:val="en-GB" w:eastAsia="en-US"/>
    </w:rPr>
  </w:style>
  <w:style w:type="character" w:customStyle="1" w:styleId="140">
    <w:name w:val="页眉 字符"/>
    <w:link w:val="43"/>
    <w:qFormat/>
    <w:uiPriority w:val="0"/>
    <w:rPr>
      <w:rFonts w:ascii="Arial" w:hAnsi="Arial"/>
      <w:b/>
      <w:sz w:val="18"/>
      <w:lang w:val="en-GB" w:eastAsia="en-US"/>
    </w:rPr>
  </w:style>
  <w:style w:type="character" w:customStyle="1" w:styleId="141">
    <w:name w:val="页脚 字符"/>
    <w:link w:val="42"/>
    <w:qFormat/>
    <w:uiPriority w:val="99"/>
    <w:rPr>
      <w:rFonts w:ascii="Arial" w:hAnsi="Arial"/>
      <w:b/>
      <w:i/>
      <w:sz w:val="18"/>
      <w:lang w:val="en-GB" w:eastAsia="en-US"/>
    </w:rPr>
  </w:style>
  <w:style w:type="character" w:customStyle="1" w:styleId="142">
    <w:name w:val="PL Char"/>
    <w:link w:val="102"/>
    <w:qFormat/>
    <w:locked/>
    <w:uiPriority w:val="0"/>
    <w:rPr>
      <w:rFonts w:ascii="Courier New" w:hAnsi="Courier New"/>
      <w:sz w:val="16"/>
      <w:lang w:val="en-GB" w:eastAsia="en-US"/>
    </w:rPr>
  </w:style>
  <w:style w:type="character" w:customStyle="1" w:styleId="143">
    <w:name w:val="TAL Char"/>
    <w:link w:val="91"/>
    <w:qFormat/>
    <w:locked/>
    <w:uiPriority w:val="0"/>
    <w:rPr>
      <w:rFonts w:ascii="Arial" w:hAnsi="Arial"/>
      <w:sz w:val="18"/>
      <w:lang w:val="en-GB" w:eastAsia="en-US"/>
    </w:rPr>
  </w:style>
  <w:style w:type="character" w:customStyle="1" w:styleId="144">
    <w:name w:val="B3 Char"/>
    <w:link w:val="115"/>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正文文本 字符"/>
    <w:basedOn w:val="75"/>
    <w:link w:val="33"/>
    <w:qFormat/>
    <w:uiPriority w:val="0"/>
    <w:rPr>
      <w:rFonts w:ascii="Times New Roman" w:hAnsi="Times New Roman" w:eastAsia="宋体"/>
      <w:lang w:val="en-GB" w:eastAsia="en-GB"/>
    </w:rPr>
  </w:style>
  <w:style w:type="character" w:customStyle="1" w:styleId="147">
    <w:name w:val="脚注文本 字符"/>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列表 字符"/>
    <w:link w:val="14"/>
    <w:qFormat/>
    <w:uiPriority w:val="0"/>
    <w:rPr>
      <w:rFonts w:ascii="Times New Roman" w:hAnsi="Times New Roman"/>
      <w:lang w:val="en-GB" w:eastAsia="en-US"/>
    </w:rPr>
  </w:style>
  <w:style w:type="character" w:customStyle="1" w:styleId="150">
    <w:name w:val="列表 2 字符"/>
    <w:link w:val="13"/>
    <w:qFormat/>
    <w:uiPriority w:val="0"/>
    <w:rPr>
      <w:rFonts w:ascii="Times New Roman" w:hAnsi="Times New Roman"/>
      <w:lang w:val="en-GB" w:eastAsia="en-US"/>
    </w:rPr>
  </w:style>
  <w:style w:type="character" w:customStyle="1" w:styleId="151">
    <w:name w:val="列表 3 字符"/>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文档结构图 字符"/>
    <w:link w:val="30"/>
    <w:qFormat/>
    <w:uiPriority w:val="99"/>
    <w:rPr>
      <w:rFonts w:ascii="Tahoma" w:hAnsi="Tahoma" w:cs="Tahoma"/>
      <w:shd w:val="clear" w:color="auto" w:fill="000080"/>
      <w:lang w:val="en-GB" w:eastAsia="en-US"/>
    </w:rPr>
  </w:style>
  <w:style w:type="character" w:customStyle="1" w:styleId="155">
    <w:name w:val="纯文本 字符"/>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正文文本 2 字符"/>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正文文本缩进 2 字符"/>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正文文本缩进 3 字符"/>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日期 字符"/>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列表段落 字符"/>
    <w:link w:val="174"/>
    <w:qFormat/>
    <w:uiPriority w:val="34"/>
    <w:rPr>
      <w:rFonts w:ascii="Calibri" w:hAnsi="Calibri" w:eastAsia="Calibri"/>
      <w:sz w:val="22"/>
      <w:szCs w:val="22"/>
      <w:lang w:val="en-US" w:eastAsia="en-US"/>
    </w:rPr>
  </w:style>
  <w:style w:type="paragraph" w:customStyle="1" w:styleId="176">
    <w:name w:val="Table Cell"/>
    <w:basedOn w:val="90"/>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修订1"/>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字符"/>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副标题 字符"/>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标题 字符"/>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正文文本缩进 字符"/>
    <w:basedOn w:val="75"/>
    <w:link w:val="34"/>
    <w:qFormat/>
    <w:uiPriority w:val="99"/>
    <w:rPr>
      <w:rFonts w:ascii="Times New Roman" w:hAnsi="Times New Roman" w:eastAsia="宋体"/>
      <w:lang w:val="en-GB" w:eastAsia="en-US"/>
    </w:rPr>
  </w:style>
  <w:style w:type="character" w:customStyle="1" w:styleId="309">
    <w:name w:val="正文文本首行缩进 2 字符"/>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预设格式 字符"/>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正文文本 3 字符"/>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不明显强调1"/>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网格表 4 - 着色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Batang"/>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9">
    <w:name w:val="YJ-Proposal"/>
    <w:basedOn w:val="1"/>
    <w:qFormat/>
    <w:uiPriority w:val="0"/>
    <w:pPr>
      <w:numPr>
        <w:ilvl w:val="0"/>
        <w:numId w:val="32"/>
      </w:numPr>
    </w:pPr>
    <w:rPr>
      <w:rFonts w:eastAsiaTheme="minorEastAsia"/>
      <w:b/>
      <w:bCs/>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DA23DB-BACF-4357-9C5C-AEBD54EA34C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791</Words>
  <Characters>4512</Characters>
  <Lines>37</Lines>
  <Paragraphs>10</Paragraphs>
  <TotalTime>18</TotalTime>
  <ScaleCrop>false</ScaleCrop>
  <LinksUpToDate>false</LinksUpToDate>
  <CharactersWithSpaces>5293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2021-07-29T10:55:00Z</dcterms:created>
  <dc:creator>Michael Sanders, John M Meredith</dc:creator>
  <cp:lastModifiedBy>ZTE, xiaoying</cp:lastModifiedBy>
  <cp:lastPrinted>2411-12-31T00:00:00Z</cp:lastPrinted>
  <dcterms:modified xsi:type="dcterms:W3CDTF">2023-04-07T08:02:48Z</dcterms:modified>
  <dc:title>MTG_TITLE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